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jc w:val="center"/>
        <w:rPr>
          <w:rFonts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b/>
          <w:bCs/>
          <w:color w:val="000000" w:themeColor="text1"/>
          <w:sz w:val="44"/>
          <w:szCs w:val="44"/>
          <w:highlight w:val="none"/>
          <w14:textFill>
            <w14:solidFill>
              <w14:schemeClr w14:val="tx1"/>
            </w14:solidFill>
          </w14:textFill>
        </w:rPr>
        <w:t>前  言</w:t>
      </w:r>
    </w:p>
    <w:p>
      <w:pPr>
        <w:spacing w:line="360" w:lineRule="auto"/>
        <w:ind w:firstLine="640" w:firstLineChars="200"/>
        <w:rPr>
          <w:rFonts w:hint="eastAsia" w:ascii="宋体" w:hAnsi="宋体" w:eastAsia="宋体" w:cs="宋体"/>
          <w:color w:val="000000" w:themeColor="text1"/>
          <w:sz w:val="32"/>
          <w:szCs w:val="32"/>
          <w:highlight w:val="none"/>
          <w14:textFill>
            <w14:solidFill>
              <w14:schemeClr w14:val="tx1"/>
            </w14:solidFill>
          </w14:textFill>
        </w:rPr>
      </w:pPr>
    </w:p>
    <w:p>
      <w:pPr>
        <w:spacing w:line="360" w:lineRule="auto"/>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欲知大道，必先为史。</w:t>
      </w:r>
    </w:p>
    <w:p>
      <w:pPr>
        <w:spacing w:line="360" w:lineRule="auto"/>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一九六二</w:t>
      </w:r>
      <w:r>
        <w:rPr>
          <w:rFonts w:hint="eastAsia" w:ascii="仿宋_GB2312" w:hAnsi="仿宋_GB2312" w:eastAsia="仿宋_GB2312" w:cs="仿宋_GB2312"/>
          <w:color w:val="000000" w:themeColor="text1"/>
          <w:sz w:val="32"/>
          <w:szCs w:val="32"/>
          <w:highlight w:val="none"/>
          <w14:textFill>
            <w14:solidFill>
              <w14:schemeClr w14:val="tx1"/>
            </w14:solidFill>
          </w14:textFill>
        </w:rPr>
        <w:t>年，武汉地质调查中心以“地质部中南地质科学研究所”之名始建于长沙。六</w:t>
      </w:r>
      <w:bookmarkStart w:id="0" w:name="_GoBack"/>
      <w:bookmarkEnd w:id="0"/>
      <w:r>
        <w:rPr>
          <w:rFonts w:hint="eastAsia" w:ascii="仿宋_GB2312" w:hAnsi="仿宋_GB2312" w:eastAsia="仿宋_GB2312" w:cs="仿宋_GB2312"/>
          <w:color w:val="000000" w:themeColor="text1"/>
          <w:sz w:val="32"/>
          <w:szCs w:val="32"/>
          <w:highlight w:val="none"/>
          <w14:textFill>
            <w14:solidFill>
              <w14:schemeClr w14:val="tx1"/>
            </w14:solidFill>
          </w14:textFill>
        </w:rPr>
        <w:t>十年来，</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长沙、</w:t>
      </w:r>
      <w:r>
        <w:rPr>
          <w:rFonts w:hint="eastAsia" w:ascii="仿宋_GB2312" w:hAnsi="仿宋_GB2312" w:eastAsia="仿宋_GB2312" w:cs="仿宋_GB2312"/>
          <w:color w:val="000000" w:themeColor="text1"/>
          <w:sz w:val="32"/>
          <w:szCs w:val="32"/>
          <w:highlight w:val="none"/>
          <w14:textFill>
            <w14:solidFill>
              <w14:schemeClr w14:val="tx1"/>
            </w14:solidFill>
          </w14:textFill>
        </w:rPr>
        <w:t>宜昌、武汉，两易其址，数次更名，仍克难奋进，接力攀登。六十年来，从青藏高原到长江沿岸，</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从</w:t>
      </w:r>
      <w:r>
        <w:rPr>
          <w:rFonts w:hint="eastAsia" w:ascii="仿宋_GB2312" w:hAnsi="仿宋_GB2312" w:eastAsia="仿宋_GB2312" w:cs="仿宋_GB2312"/>
          <w:color w:val="000000" w:themeColor="text1"/>
          <w:sz w:val="32"/>
          <w:szCs w:val="32"/>
          <w:highlight w:val="none"/>
          <w14:textFill>
            <w14:solidFill>
              <w14:schemeClr w14:val="tx1"/>
            </w14:solidFill>
          </w14:textFill>
        </w:rPr>
        <w:t>粤琼</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桂</w:t>
      </w:r>
      <w:r>
        <w:rPr>
          <w:rFonts w:hint="eastAsia" w:ascii="仿宋_GB2312" w:hAnsi="仿宋_GB2312" w:eastAsia="仿宋_GB2312" w:cs="仿宋_GB2312"/>
          <w:color w:val="000000" w:themeColor="text1"/>
          <w:sz w:val="32"/>
          <w:szCs w:val="32"/>
          <w:highlight w:val="none"/>
          <w14:textFill>
            <w14:solidFill>
              <w14:schemeClr w14:val="tx1"/>
            </w14:solidFill>
          </w14:textFill>
        </w:rPr>
        <w:t>到湘鄂赣，翻越千山跋涉万里……山河为证，中心几代地质人以脚步丈量理想，用汗水践行使命。</w:t>
      </w:r>
    </w:p>
    <w:p>
      <w:pPr>
        <w:spacing w:line="360" w:lineRule="auto"/>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奋斗不负韶华！</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一</w:t>
      </w:r>
      <w:r>
        <w:rPr>
          <w:rFonts w:hint="eastAsia" w:ascii="仿宋_GB2312" w:hAnsi="仿宋_GB2312" w:eastAsia="仿宋_GB2312" w:cs="仿宋_GB2312"/>
          <w:color w:val="000000" w:themeColor="text1"/>
          <w:sz w:val="32"/>
          <w:szCs w:val="32"/>
          <w:highlight w:val="none"/>
          <w14:textFill>
            <w14:solidFill>
              <w14:schemeClr w14:val="tx1"/>
            </w14:solidFill>
          </w14:textFill>
        </w:rPr>
        <w:t>项国家科技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进步</w:t>
      </w:r>
      <w:r>
        <w:rPr>
          <w:rFonts w:hint="eastAsia" w:ascii="仿宋_GB2312" w:hAnsi="仿宋_GB2312" w:eastAsia="仿宋_GB2312" w:cs="仿宋_GB2312"/>
          <w:color w:val="000000" w:themeColor="text1"/>
          <w:sz w:val="32"/>
          <w:szCs w:val="32"/>
          <w:highlight w:val="none"/>
          <w14:textFill>
            <w14:solidFill>
              <w14:schemeClr w14:val="tx1"/>
            </w14:solidFill>
          </w14:textFill>
        </w:rPr>
        <w:t>特等奖，</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六</w:t>
      </w:r>
      <w:r>
        <w:rPr>
          <w:rFonts w:hint="eastAsia" w:ascii="仿宋_GB2312" w:hAnsi="仿宋_GB2312" w:eastAsia="仿宋_GB2312" w:cs="仿宋_GB2312"/>
          <w:color w:val="000000" w:themeColor="text1"/>
          <w:sz w:val="32"/>
          <w:szCs w:val="32"/>
          <w:highlight w:val="none"/>
          <w14:textFill>
            <w14:solidFill>
              <w14:schemeClr w14:val="tx1"/>
            </w14:solidFill>
          </w14:textFill>
        </w:rPr>
        <w:t>项国家科技</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进步</w:t>
      </w:r>
      <w:r>
        <w:rPr>
          <w:rFonts w:hint="eastAsia" w:ascii="仿宋_GB2312" w:hAnsi="仿宋_GB2312" w:eastAsia="仿宋_GB2312" w:cs="仿宋_GB2312"/>
          <w:color w:val="000000" w:themeColor="text1"/>
          <w:sz w:val="32"/>
          <w:szCs w:val="32"/>
          <w:highlight w:val="none"/>
          <w14:textFill>
            <w14:solidFill>
              <w14:schemeClr w14:val="tx1"/>
            </w14:solidFill>
          </w14:textFill>
        </w:rPr>
        <w:t>二等奖，</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近</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200</w:t>
      </w:r>
      <w:r>
        <w:rPr>
          <w:rFonts w:hint="eastAsia" w:ascii="仿宋_GB2312" w:hAnsi="仿宋_GB2312" w:eastAsia="仿宋_GB2312" w:cs="仿宋_GB2312"/>
          <w:color w:val="000000" w:themeColor="text1"/>
          <w:sz w:val="32"/>
          <w:szCs w:val="32"/>
          <w:highlight w:val="none"/>
          <w14:textFill>
            <w14:solidFill>
              <w14:schemeClr w14:val="tx1"/>
            </w14:solidFill>
          </w14:textFill>
        </w:rPr>
        <w:t>项省部级科技奖，见证武汉地调中心一个甲子的辉煌。</w:t>
      </w:r>
    </w:p>
    <w:p>
      <w:pPr>
        <w:spacing w:line="360" w:lineRule="auto"/>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这</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六十</w:t>
      </w:r>
      <w:r>
        <w:rPr>
          <w:rFonts w:hint="eastAsia" w:ascii="仿宋_GB2312" w:hAnsi="仿宋_GB2312" w:eastAsia="仿宋_GB2312" w:cs="仿宋_GB2312"/>
          <w:color w:val="000000" w:themeColor="text1"/>
          <w:sz w:val="32"/>
          <w:szCs w:val="32"/>
          <w:highlight w:val="none"/>
          <w14:textFill>
            <w14:solidFill>
              <w14:schemeClr w14:val="tx1"/>
            </w14:solidFill>
          </w14:textFill>
        </w:rPr>
        <w:t>年，光辉而荣耀！回顾过去，</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不忘</w:t>
      </w:r>
      <w:r>
        <w:rPr>
          <w:rFonts w:hint="eastAsia" w:ascii="仿宋_GB2312" w:hAnsi="仿宋_GB2312" w:eastAsia="仿宋_GB2312" w:cs="仿宋_GB2312"/>
          <w:color w:val="000000" w:themeColor="text1"/>
          <w:sz w:val="32"/>
          <w:szCs w:val="32"/>
          <w:highlight w:val="none"/>
          <w14:textFill>
            <w14:solidFill>
              <w14:schemeClr w14:val="tx1"/>
            </w14:solidFill>
          </w14:textFill>
        </w:rPr>
        <w:t>从何处来，以历史增进自信；展望未来，知晓我们往何处去，为初心努力奋斗。</w:t>
      </w:r>
    </w:p>
    <w:p>
      <w:pPr>
        <w:spacing w:line="360" w:lineRule="auto"/>
        <w:ind w:firstLine="640" w:firstLineChars="200"/>
        <w:rPr>
          <w:rFonts w:hint="eastAsia" w:ascii="宋体" w:hAnsi="宋体" w:eastAsia="宋体" w:cs="宋体"/>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中心成立六十</w:t>
      </w:r>
      <w:r>
        <w:rPr>
          <w:rFonts w:hint="eastAsia" w:ascii="仿宋_GB2312" w:hAnsi="仿宋_GB2312" w:eastAsia="仿宋_GB2312" w:cs="仿宋_GB2312"/>
          <w:color w:val="000000" w:themeColor="text1"/>
          <w:sz w:val="32"/>
          <w:szCs w:val="32"/>
          <w:highlight w:val="none"/>
          <w14:textFill>
            <w14:solidFill>
              <w14:schemeClr w14:val="tx1"/>
            </w14:solidFill>
          </w14:textFill>
        </w:rPr>
        <w:t>周年之际，我们</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推出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60年回眸，以图文并茂的方式</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分篇章</w:t>
      </w:r>
      <w:r>
        <w:rPr>
          <w:rFonts w:hint="eastAsia" w:ascii="仿宋_GB2312" w:hAnsi="仿宋_GB2312" w:eastAsia="仿宋_GB2312" w:cs="仿宋_GB2312"/>
          <w:color w:val="000000" w:themeColor="text1"/>
          <w:sz w:val="32"/>
          <w:szCs w:val="32"/>
          <w:highlight w:val="none"/>
          <w14:textFill>
            <w14:solidFill>
              <w14:schemeClr w14:val="tx1"/>
            </w14:solidFill>
          </w14:textFill>
        </w:rPr>
        <w:t>回望</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过往</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跋山涉水、克难攻坚</w:t>
      </w:r>
      <w:r>
        <w:rPr>
          <w:rFonts w:hint="eastAsia" w:ascii="仿宋_GB2312" w:hAnsi="仿宋_GB2312" w:eastAsia="仿宋_GB2312" w:cs="仿宋_GB2312"/>
          <w:color w:val="000000" w:themeColor="text1"/>
          <w:sz w:val="32"/>
          <w:szCs w:val="32"/>
          <w:highlight w:val="none"/>
          <w14:textFill>
            <w14:solidFill>
              <w14:schemeClr w14:val="tx1"/>
            </w14:solidFill>
          </w14:textFill>
        </w:rPr>
        <w:t>的奋斗历程和辉煌成就，</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激励广</w:t>
      </w:r>
      <w:r>
        <w:rPr>
          <w:rFonts w:hint="eastAsia" w:ascii="宋体" w:hAnsi="宋体" w:eastAsia="宋体" w:cs="宋体"/>
          <w:color w:val="000000" w:themeColor="text1"/>
          <w:sz w:val="32"/>
          <w:szCs w:val="32"/>
          <w:highlight w:val="none"/>
          <w:lang w:eastAsia="zh-CN"/>
          <w14:textFill>
            <w14:solidFill>
              <w14:schemeClr w14:val="tx1"/>
            </w14:solidFill>
          </w14:textFill>
        </w:rPr>
        <w:t>大职工</w:t>
      </w:r>
      <w:r>
        <w:rPr>
          <w:rFonts w:hint="eastAsia" w:ascii="宋体" w:hAnsi="宋体" w:eastAsia="宋体" w:cs="宋体"/>
          <w:color w:val="000000" w:themeColor="text1"/>
          <w:sz w:val="32"/>
          <w:szCs w:val="32"/>
          <w:highlight w:val="none"/>
          <w14:textFill>
            <w14:solidFill>
              <w14:schemeClr w14:val="tx1"/>
            </w14:solidFill>
          </w14:textFill>
        </w:rPr>
        <w:t>初心不改</w:t>
      </w:r>
      <w:r>
        <w:rPr>
          <w:rFonts w:hint="eastAsia" w:ascii="宋体" w:hAnsi="宋体" w:eastAsia="宋体" w:cs="宋体"/>
          <w:color w:val="000000" w:themeColor="text1"/>
          <w:sz w:val="32"/>
          <w:szCs w:val="32"/>
          <w:highlight w:val="none"/>
          <w:lang w:eastAsia="zh-CN"/>
          <w14:textFill>
            <w14:solidFill>
              <w14:schemeClr w14:val="tx1"/>
            </w14:solidFill>
          </w14:textFill>
        </w:rPr>
        <w:t>、</w:t>
      </w:r>
      <w:r>
        <w:rPr>
          <w:rFonts w:hint="eastAsia" w:ascii="宋体" w:hAnsi="宋体" w:eastAsia="宋体" w:cs="宋体"/>
          <w:color w:val="000000" w:themeColor="text1"/>
          <w:sz w:val="32"/>
          <w:szCs w:val="32"/>
          <w:highlight w:val="none"/>
          <w:lang w:val="en-US" w:eastAsia="zh-CN"/>
          <w14:textFill>
            <w14:solidFill>
              <w14:schemeClr w14:val="tx1"/>
            </w14:solidFill>
          </w14:textFill>
        </w:rPr>
        <w:t>接续奋斗</w:t>
      </w:r>
      <w:r>
        <w:rPr>
          <w:rFonts w:hint="eastAsia" w:ascii="宋体" w:hAnsi="宋体" w:eastAsia="宋体" w:cs="宋体"/>
          <w:color w:val="000000" w:themeColor="text1"/>
          <w:sz w:val="32"/>
          <w:szCs w:val="32"/>
          <w:highlight w:val="none"/>
          <w14:textFill>
            <w14:solidFill>
              <w14:schemeClr w14:val="tx1"/>
            </w14:solidFill>
          </w14:textFill>
        </w:rPr>
        <w:t>，</w:t>
      </w:r>
      <w:r>
        <w:rPr>
          <w:rFonts w:hint="eastAsia" w:ascii="宋体" w:hAnsi="宋体" w:eastAsia="宋体" w:cs="宋体"/>
          <w:color w:val="000000" w:themeColor="text1"/>
          <w:sz w:val="32"/>
          <w:szCs w:val="32"/>
          <w:highlight w:val="none"/>
          <w:lang w:eastAsia="zh-CN"/>
          <w14:textFill>
            <w14:solidFill>
              <w14:schemeClr w14:val="tx1"/>
            </w14:solidFill>
          </w14:textFill>
        </w:rPr>
        <w:t>为中心地质事业再立新功！</w:t>
      </w:r>
    </w:p>
    <w:p>
      <w:pPr>
        <w:spacing w:line="360" w:lineRule="auto"/>
        <w:jc w:val="cente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jc w:val="center"/>
        <w:rPr>
          <w:rFonts w:hint="eastAsia" w:ascii="黑体" w:hAnsi="黑体" w:eastAsia="黑体" w:cs="黑体"/>
          <w:b w:val="0"/>
          <w:bCs w:val="0"/>
          <w:color w:val="000000" w:themeColor="text1"/>
          <w:sz w:val="44"/>
          <w:szCs w:val="44"/>
          <w:highlight w:val="none"/>
          <w:lang w:val="en-US" w:eastAsia="zh-CN"/>
          <w14:textFill>
            <w14:solidFill>
              <w14:schemeClr w14:val="tx1"/>
            </w14:solidFill>
          </w14:textFill>
        </w:rPr>
      </w:pPr>
      <w:r>
        <w:rPr>
          <w:rFonts w:hint="eastAsia" w:ascii="黑体" w:hAnsi="黑体" w:eastAsia="黑体" w:cs="黑体"/>
          <w:b w:val="0"/>
          <w:bCs w:val="0"/>
          <w:color w:val="000000" w:themeColor="text1"/>
          <w:sz w:val="44"/>
          <w:szCs w:val="44"/>
          <w:highlight w:val="none"/>
          <w:lang w:val="en-US" w:eastAsia="zh-CN"/>
          <w14:textFill>
            <w14:solidFill>
              <w14:schemeClr w14:val="tx1"/>
            </w14:solidFill>
          </w14:textFill>
        </w:rPr>
        <w:t>60年回眸</w:t>
      </w:r>
    </w:p>
    <w:p>
      <w:pPr>
        <w:spacing w:line="360" w:lineRule="auto"/>
        <w:jc w:val="center"/>
        <w:rPr>
          <w:rFonts w:hint="default" w:ascii="宋体" w:hAnsi="宋体" w:eastAsia="宋体" w:cs="宋体"/>
          <w:b/>
          <w:bCs/>
          <w:color w:val="000000" w:themeColor="text1"/>
          <w:sz w:val="44"/>
          <w:szCs w:val="44"/>
          <w:highlight w:val="none"/>
          <w:lang w:val="en-US" w:eastAsia="zh-CN"/>
          <w14:textFill>
            <w14:solidFill>
              <w14:schemeClr w14:val="tx1"/>
            </w14:solidFill>
          </w14:textFill>
        </w:rPr>
      </w:pPr>
      <w:r>
        <w:rPr>
          <w:rFonts w:hint="eastAsia" w:ascii="宋体" w:hAnsi="宋体" w:eastAsia="宋体" w:cs="宋体"/>
          <w:b/>
          <w:bCs/>
          <w:color w:val="000000" w:themeColor="text1"/>
          <w:sz w:val="44"/>
          <w:szCs w:val="44"/>
          <w:highlight w:val="none"/>
          <w:lang w:val="en-US" w:eastAsia="zh-CN"/>
          <w14:textFill>
            <w14:solidFill>
              <w14:schemeClr w14:val="tx1"/>
            </w14:solidFill>
          </w14:textFill>
        </w:rPr>
        <w:t>第一篇章  初心如炬照征程(1962-1965)</w:t>
      </w:r>
    </w:p>
    <w:p>
      <w:pPr>
        <w:spacing w:line="360" w:lineRule="auto"/>
        <w:ind w:firstLine="64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为贯彻中央关于国民经济“调整、巩固、充实、提高”八字方针，1962年4月地质部决定成立大区地质研究所。并决定将湖北、湖南、广东、广西、河南等省（区）地质局的研究所合并组成地质部中南地质科学研究所，所址设在长沙市，当时定编270人，办公场所借用湖南省人委机关事务管理局雨花亭原省团校房屋，1962年9月20日正式迁往办公。第一任所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由</w:t>
      </w:r>
      <w:r>
        <w:rPr>
          <w:rFonts w:hint="eastAsia" w:ascii="仿宋_GB2312" w:hAnsi="仿宋_GB2312" w:eastAsia="仿宋_GB2312" w:cs="仿宋_GB2312"/>
          <w:color w:val="000000" w:themeColor="text1"/>
          <w:sz w:val="32"/>
          <w:szCs w:val="32"/>
          <w:highlight w:val="none"/>
          <w14:textFill>
            <w14:solidFill>
              <w14:schemeClr w14:val="tx1"/>
            </w14:solidFill>
          </w14:textFill>
        </w:rPr>
        <w:t>时任湖南省副省长的王含馥兼</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任</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pPr>
        <w:spacing w:line="360" w:lineRule="auto"/>
        <w:ind w:firstLine="420" w:firstLineChars="200"/>
        <w:jc w:val="center"/>
        <w:rPr>
          <w:rFonts w:hint="default" w:eastAsiaTheme="minor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504950" cy="1871980"/>
            <wp:effectExtent l="0" t="0" r="0" b="1397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4" cstate="print"/>
                    <a:stretch>
                      <a:fillRect/>
                    </a:stretch>
                  </pic:blipFill>
                  <pic:spPr>
                    <a:xfrm>
                      <a:off x="0" y="0"/>
                      <a:ext cx="1504950" cy="1871980"/>
                    </a:xfrm>
                    <a:prstGeom prst="rect">
                      <a:avLst/>
                    </a:prstGeom>
                    <a:noFill/>
                    <a:ln>
                      <a:noFill/>
                    </a:ln>
                  </pic:spPr>
                </pic:pic>
              </a:graphicData>
            </a:graphic>
          </wp:inline>
        </w:drawing>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drawing>
          <wp:inline distT="0" distB="0" distL="114300" distR="114300">
            <wp:extent cx="1461135" cy="1880870"/>
            <wp:effectExtent l="0" t="0" r="5715" b="5080"/>
            <wp:docPr id="2" name="图片 2" descr="W02016081767648700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020160817676487002606"/>
                    <pic:cNvPicPr>
                      <a:picLocks noChangeAspect="1"/>
                    </pic:cNvPicPr>
                  </pic:nvPicPr>
                  <pic:blipFill>
                    <a:blip r:embed="rId5" cstate="print"/>
                    <a:stretch>
                      <a:fillRect/>
                    </a:stretch>
                  </pic:blipFill>
                  <pic:spPr>
                    <a:xfrm>
                      <a:off x="0" y="0"/>
                      <a:ext cx="1461135" cy="1880870"/>
                    </a:xfrm>
                    <a:prstGeom prst="rect">
                      <a:avLst/>
                    </a:prstGeom>
                  </pic:spPr>
                </pic:pic>
              </a:graphicData>
            </a:graphic>
          </wp:inline>
        </w:drawing>
      </w:r>
    </w:p>
    <w:p>
      <w:pPr>
        <w:spacing w:line="360" w:lineRule="auto"/>
        <w:ind w:firstLine="720" w:firstLineChars="400"/>
        <w:jc w:val="both"/>
        <w:rPr>
          <w:rFonts w:hint="default" w:ascii="宋体" w:hAnsi="宋体" w:eastAsia="宋体" w:cs="宋体"/>
          <w:color w:val="FF0000"/>
          <w:sz w:val="18"/>
          <w:szCs w:val="18"/>
          <w:lang w:val="en-US" w:eastAsia="zh-CN"/>
        </w:rPr>
      </w:pPr>
      <w:r>
        <w:rPr>
          <w:rFonts w:hint="eastAsia" w:ascii="宋体" w:hAnsi="宋体" w:eastAsia="宋体" w:cs="宋体"/>
          <w:color w:val="000000" w:themeColor="text1"/>
          <w:sz w:val="18"/>
          <w:szCs w:val="18"/>
          <w:lang w:eastAsia="zh-CN"/>
          <w14:textFill>
            <w14:solidFill>
              <w14:schemeClr w14:val="tx1"/>
            </w14:solidFill>
          </w14:textFill>
        </w:rPr>
        <w:t>关于批准成立</w:t>
      </w:r>
      <w:r>
        <w:rPr>
          <w:rFonts w:hint="eastAsia" w:ascii="宋体" w:hAnsi="宋体" w:eastAsia="宋体" w:cs="宋体"/>
          <w:color w:val="000000" w:themeColor="text1"/>
          <w:sz w:val="18"/>
          <w:szCs w:val="18"/>
          <w14:textFill>
            <w14:solidFill>
              <w14:schemeClr w14:val="tx1"/>
            </w14:solidFill>
          </w14:textFill>
        </w:rPr>
        <w:t>地质部中南地质科学研究所</w:t>
      </w:r>
      <w:r>
        <w:rPr>
          <w:rFonts w:hint="eastAsia" w:ascii="宋体" w:hAnsi="宋体" w:eastAsia="宋体" w:cs="宋体"/>
          <w:color w:val="000000" w:themeColor="text1"/>
          <w:sz w:val="18"/>
          <w:szCs w:val="18"/>
          <w:lang w:eastAsia="zh-CN"/>
          <w14:textFill>
            <w14:solidFill>
              <w14:schemeClr w14:val="tx1"/>
            </w14:solidFill>
          </w14:textFill>
        </w:rPr>
        <w:t>的文件</w:t>
      </w:r>
      <w:r>
        <w:rPr>
          <w:rFonts w:hint="eastAsia" w:ascii="宋体" w:hAnsi="宋体" w:eastAsia="宋体" w:cs="宋体"/>
          <w:color w:val="000000" w:themeColor="text1"/>
          <w:sz w:val="18"/>
          <w:szCs w:val="18"/>
          <w:lang w:val="en-US" w:eastAsia="zh-CN"/>
          <w14:textFill>
            <w14:solidFill>
              <w14:schemeClr w14:val="tx1"/>
            </w14:solidFill>
          </w14:textFill>
        </w:rPr>
        <w:t xml:space="preserve">               </w:t>
      </w:r>
      <w:r>
        <w:rPr>
          <w:rFonts w:hint="eastAsia" w:ascii="宋体" w:hAnsi="宋体" w:eastAsia="宋体" w:cs="宋体"/>
          <w:color w:val="000000" w:themeColor="text1"/>
          <w:sz w:val="18"/>
          <w:szCs w:val="18"/>
          <w14:textFill>
            <w14:solidFill>
              <w14:schemeClr w14:val="tx1"/>
            </w14:solidFill>
          </w14:textFill>
        </w:rPr>
        <w:t>王含馥</w:t>
      </w:r>
    </w:p>
    <w:p>
      <w:pPr>
        <w:spacing w:line="360" w:lineRule="auto"/>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建所之初，百端待举，主要工作在于完善建制、制定规划、招募人才。</w:t>
      </w:r>
      <w:r>
        <w:rPr>
          <w:rFonts w:hint="eastAsia" w:ascii="仿宋_GB2312" w:hAnsi="仿宋_GB2312" w:eastAsia="仿宋_GB2312" w:cs="仿宋_GB2312"/>
          <w:color w:val="000000" w:themeColor="text1"/>
          <w:sz w:val="32"/>
          <w:szCs w:val="32"/>
          <w:lang w:eastAsia="zh-CN"/>
          <w14:textFill>
            <w14:solidFill>
              <w14:schemeClr w14:val="tx1"/>
            </w14:solidFill>
          </w14:textFill>
        </w:rPr>
        <w:t>经过充分论证，确定研究所的业务方向是，面向大区，开展多学科的基础地质、矿产地质研究；重点任务是研究南岭地质发展史和地质构造特征以及有色、稀有金属矿产的分布规律；研究煤、富铜、富铁、特种非金属的生成地质条件及其分布规律。</w:t>
      </w:r>
      <w:r>
        <w:rPr>
          <w:rFonts w:hint="eastAsia" w:ascii="仿宋_GB2312" w:hAnsi="仿宋_GB2312" w:eastAsia="仿宋_GB2312" w:cs="仿宋_GB2312"/>
          <w:color w:val="000000" w:themeColor="text1"/>
          <w:sz w:val="32"/>
          <w:szCs w:val="32"/>
          <w14:textFill>
            <w14:solidFill>
              <w14:schemeClr w14:val="tx1"/>
            </w14:solidFill>
          </w14:textFill>
        </w:rPr>
        <w:t>根据功能定位，相应设立了九室五科（详见机构设置）。</w:t>
      </w:r>
      <w:r>
        <w:rPr>
          <w:rFonts w:hint="eastAsia" w:ascii="仿宋_GB2312" w:hAnsi="仿宋_GB2312" w:eastAsia="仿宋_GB2312" w:cs="仿宋_GB2312"/>
          <w:color w:val="000000" w:themeColor="text1"/>
          <w:sz w:val="32"/>
          <w:szCs w:val="32"/>
          <w:lang w:eastAsia="zh-CN"/>
          <w14:textFill>
            <w14:solidFill>
              <w14:schemeClr w14:val="tx1"/>
            </w14:solidFill>
          </w14:textFill>
        </w:rPr>
        <w:t>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1963年开始，先后开展对柿竹园、西华山、漂塘、木梓园钨矿以“找矿标志、评价准则”为主攻方向的“南岭钨矿”重点项目研究工作。还开展了幕阜山伟晶矿、桐柏含铌铁矿花岗岩、湘中奥陶系、湖南中、新生代红层盆地地层古生物及盐类矿产、中南区基础地质图件、中南区地层区划及区域地层表的编制等研究工作，这个阶段的科研工作具有起步和“练兵”的特点。</w:t>
      </w:r>
    </w:p>
    <w:p>
      <w:pP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sz w:val="28"/>
          <w:szCs w:val="28"/>
          <w:highlight w:val="none"/>
        </w:rPr>
        <w:drawing>
          <wp:inline distT="0" distB="0" distL="114300" distR="114300">
            <wp:extent cx="5610225" cy="1642745"/>
            <wp:effectExtent l="0" t="0" r="9525" b="14605"/>
            <wp:docPr id="2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
                    <pic:cNvPicPr>
                      <a:picLocks noChangeAspect="1"/>
                    </pic:cNvPicPr>
                  </pic:nvPicPr>
                  <pic:blipFill>
                    <a:blip r:embed="rId6"/>
                    <a:stretch>
                      <a:fillRect/>
                    </a:stretch>
                  </pic:blipFill>
                  <pic:spPr>
                    <a:xfrm>
                      <a:off x="0" y="0"/>
                      <a:ext cx="5610225" cy="1642745"/>
                    </a:xfrm>
                    <a:prstGeom prst="rect">
                      <a:avLst/>
                    </a:prstGeom>
                    <a:noFill/>
                    <a:ln>
                      <a:noFill/>
                    </a:ln>
                  </pic:spPr>
                </pic:pic>
              </a:graphicData>
            </a:graphic>
          </wp:inline>
        </w:drawing>
      </w:r>
    </w:p>
    <w:p>
      <w:pPr>
        <w:pStyle w:val="4"/>
        <w:ind w:left="0" w:leftChars="0" w:firstLine="2100" w:firstLineChars="1000"/>
        <w:rPr>
          <w:rFonts w:hint="eastAsia"/>
          <w:highlight w:val="none"/>
        </w:rPr>
      </w:pPr>
      <w:r>
        <w:rPr>
          <w:rFonts w:hint="eastAsia"/>
          <w:highlight w:val="none"/>
        </w:rPr>
        <w:t>1964年4月，</w:t>
      </w:r>
      <w:r>
        <w:rPr>
          <w:rFonts w:hint="eastAsia"/>
          <w:highlight w:val="none"/>
          <w:lang w:eastAsia="zh-CN"/>
        </w:rPr>
        <w:t>全所</w:t>
      </w:r>
      <w:r>
        <w:rPr>
          <w:rFonts w:hint="eastAsia"/>
          <w:highlight w:val="none"/>
        </w:rPr>
        <w:t>职工在长沙雨花亭旧址合影</w:t>
      </w:r>
    </w:p>
    <w:p>
      <w:pPr>
        <w:rPr>
          <w:highlight w:val="none"/>
        </w:rPr>
      </w:pPr>
      <w:r>
        <w:drawing>
          <wp:inline distT="0" distB="0" distL="114300" distR="114300">
            <wp:extent cx="5270500" cy="1790065"/>
            <wp:effectExtent l="0" t="0" r="635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0500" cy="1790065"/>
                    </a:xfrm>
                    <a:prstGeom prst="rect">
                      <a:avLst/>
                    </a:prstGeom>
                    <a:noFill/>
                    <a:ln>
                      <a:noFill/>
                    </a:ln>
                  </pic:spPr>
                </pic:pic>
              </a:graphicData>
            </a:graphic>
          </wp:inline>
        </w:drawing>
      </w:r>
    </w:p>
    <w:p>
      <w:pPr>
        <w:pStyle w:val="4"/>
        <w:ind w:left="0" w:leftChars="0" w:firstLine="2100" w:firstLineChars="1000"/>
        <w:rPr>
          <w:highlight w:val="none"/>
        </w:rPr>
      </w:pPr>
      <w:r>
        <w:rPr>
          <w:rFonts w:hint="eastAsia"/>
          <w:highlight w:val="none"/>
        </w:rPr>
        <w:t>1964年4月，</w:t>
      </w:r>
      <w:r>
        <w:rPr>
          <w:rFonts w:hint="eastAsia"/>
          <w:highlight w:val="none"/>
          <w:lang w:eastAsia="zh-CN"/>
        </w:rPr>
        <w:t>研究所“</w:t>
      </w:r>
      <w:r>
        <w:rPr>
          <w:rFonts w:hint="eastAsia"/>
          <w:highlight w:val="none"/>
        </w:rPr>
        <w:t>五好职工</w:t>
      </w:r>
      <w:r>
        <w:rPr>
          <w:rFonts w:hint="eastAsia"/>
          <w:highlight w:val="none"/>
          <w:lang w:eastAsia="zh-CN"/>
        </w:rPr>
        <w:t>”</w:t>
      </w:r>
      <w:r>
        <w:rPr>
          <w:rFonts w:hint="eastAsia"/>
          <w:highlight w:val="none"/>
        </w:rPr>
        <w:t>合影</w:t>
      </w:r>
    </w:p>
    <w:p>
      <w:pPr>
        <w:pStyle w:val="3"/>
        <w:ind w:left="0" w:leftChars="0"/>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drawing>
          <wp:inline distT="0" distB="0" distL="114300" distR="114300">
            <wp:extent cx="5122545" cy="1502410"/>
            <wp:effectExtent l="0" t="0" r="1905" b="2540"/>
            <wp:docPr id="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
                    <pic:cNvPicPr>
                      <a:picLocks noChangeAspect="1"/>
                    </pic:cNvPicPr>
                  </pic:nvPicPr>
                  <pic:blipFill>
                    <a:blip r:embed="rId8" cstate="print"/>
                    <a:stretch>
                      <a:fillRect/>
                    </a:stretch>
                  </pic:blipFill>
                  <pic:spPr>
                    <a:xfrm>
                      <a:off x="0" y="0"/>
                      <a:ext cx="5122545" cy="1502410"/>
                    </a:xfrm>
                    <a:prstGeom prst="rect">
                      <a:avLst/>
                    </a:prstGeom>
                    <a:noFill/>
                    <a:ln>
                      <a:noFill/>
                    </a:ln>
                  </pic:spPr>
                </pic:pic>
              </a:graphicData>
            </a:graphic>
          </wp:inline>
        </w:drawing>
      </w:r>
    </w:p>
    <w:p>
      <w:pPr>
        <w:pStyle w:val="4"/>
        <w:ind w:left="0" w:leftChars="0" w:firstLine="0" w:firstLineChars="0"/>
        <w:jc w:val="center"/>
        <w:rPr>
          <w:rFonts w:hint="eastAsia" w:asciiTheme="minorHAnsi" w:hAnsiTheme="minorHAnsi" w:eastAsiaTheme="minorEastAsia" w:cstheme="minorBidi"/>
          <w:b w:val="0"/>
          <w:bCs w:val="0"/>
          <w:sz w:val="21"/>
          <w:szCs w:val="24"/>
          <w:highlight w:val="none"/>
        </w:rPr>
      </w:pPr>
      <w:r>
        <w:rPr>
          <w:rFonts w:hint="eastAsia" w:asciiTheme="minorHAnsi" w:hAnsiTheme="minorHAnsi" w:eastAsiaTheme="minorEastAsia" w:cstheme="minorBidi"/>
          <w:b w:val="0"/>
          <w:bCs w:val="0"/>
          <w:sz w:val="21"/>
          <w:szCs w:val="24"/>
          <w:highlight w:val="none"/>
        </w:rPr>
        <w:t>196</w:t>
      </w:r>
      <w:r>
        <w:rPr>
          <w:rFonts w:hint="eastAsia" w:cstheme="minorBidi"/>
          <w:b w:val="0"/>
          <w:bCs w:val="0"/>
          <w:sz w:val="21"/>
          <w:szCs w:val="24"/>
          <w:highlight w:val="none"/>
          <w:lang w:val="en-US" w:eastAsia="zh-CN"/>
        </w:rPr>
        <w:t>5</w:t>
      </w:r>
      <w:r>
        <w:rPr>
          <w:rFonts w:hint="eastAsia" w:asciiTheme="minorHAnsi" w:hAnsiTheme="minorHAnsi" w:eastAsiaTheme="minorEastAsia" w:cstheme="minorBidi"/>
          <w:b w:val="0"/>
          <w:bCs w:val="0"/>
          <w:sz w:val="21"/>
          <w:szCs w:val="24"/>
          <w:highlight w:val="none"/>
        </w:rPr>
        <w:t>年</w:t>
      </w:r>
      <w:r>
        <w:rPr>
          <w:rFonts w:hint="eastAsia" w:cstheme="minorBidi"/>
          <w:b w:val="0"/>
          <w:bCs w:val="0"/>
          <w:sz w:val="21"/>
          <w:szCs w:val="24"/>
          <w:highlight w:val="none"/>
          <w:lang w:val="en-US" w:eastAsia="zh-CN"/>
        </w:rPr>
        <w:t>9</w:t>
      </w:r>
      <w:r>
        <w:rPr>
          <w:rFonts w:hint="eastAsia" w:asciiTheme="minorHAnsi" w:hAnsiTheme="minorHAnsi" w:eastAsiaTheme="minorEastAsia" w:cstheme="minorBidi"/>
          <w:b w:val="0"/>
          <w:bCs w:val="0"/>
          <w:sz w:val="21"/>
          <w:szCs w:val="24"/>
          <w:highlight w:val="none"/>
        </w:rPr>
        <w:t>月</w:t>
      </w:r>
      <w:r>
        <w:rPr>
          <w:rFonts w:hint="eastAsia" w:cstheme="minorBidi"/>
          <w:b w:val="0"/>
          <w:bCs w:val="0"/>
          <w:sz w:val="21"/>
          <w:szCs w:val="24"/>
          <w:highlight w:val="none"/>
          <w:lang w:eastAsia="zh-CN"/>
        </w:rPr>
        <w:t>，</w:t>
      </w:r>
      <w:r>
        <w:rPr>
          <w:rFonts w:hint="eastAsia" w:asciiTheme="minorHAnsi" w:hAnsiTheme="minorHAnsi" w:eastAsiaTheme="minorEastAsia" w:cstheme="minorBidi"/>
          <w:b w:val="0"/>
          <w:bCs w:val="0"/>
          <w:sz w:val="21"/>
          <w:szCs w:val="24"/>
          <w:highlight w:val="none"/>
        </w:rPr>
        <w:t>研究所全体参加农村社会主义教育运动</w:t>
      </w:r>
      <w:r>
        <w:rPr>
          <w:rFonts w:hint="eastAsia" w:cstheme="minorBidi"/>
          <w:b w:val="0"/>
          <w:bCs w:val="0"/>
          <w:sz w:val="21"/>
          <w:szCs w:val="24"/>
          <w:highlight w:val="none"/>
          <w:lang w:val="en-US" w:eastAsia="zh-CN"/>
        </w:rPr>
        <w:t>的同志</w:t>
      </w:r>
      <w:r>
        <w:rPr>
          <w:rFonts w:hint="eastAsia" w:asciiTheme="minorHAnsi" w:hAnsiTheme="minorHAnsi" w:eastAsiaTheme="minorEastAsia" w:cstheme="minorBidi"/>
          <w:b w:val="0"/>
          <w:bCs w:val="0"/>
          <w:sz w:val="21"/>
          <w:szCs w:val="24"/>
          <w:highlight w:val="none"/>
        </w:rPr>
        <w:t>合影</w:t>
      </w:r>
    </w:p>
    <w:p>
      <w:pPr>
        <w:pStyle w:val="8"/>
        <w:widowControl/>
        <w:kinsoku w:val="0"/>
        <w:autoSpaceDE w:val="0"/>
        <w:autoSpaceDN w:val="0"/>
        <w:adjustRightInd w:val="0"/>
        <w:snapToGrid w:val="0"/>
        <w:spacing w:line="360" w:lineRule="auto"/>
        <w:ind w:firstLine="843" w:firstLineChars="300"/>
        <w:textAlignment w:val="baseline"/>
        <w:rPr>
          <w:rFonts w:ascii="宋体" w:hAnsi="宋体" w:eastAsia="宋体" w:cs="宋体"/>
          <w:color w:val="000000" w:themeColor="text1"/>
          <w:kern w:val="2"/>
          <w:sz w:val="28"/>
          <w:szCs w:val="28"/>
          <w:highlight w:val="none"/>
          <w14:textFill>
            <w14:solidFill>
              <w14:schemeClr w14:val="tx1"/>
            </w14:solidFill>
          </w14:textFill>
        </w:rPr>
      </w:pPr>
      <w:r>
        <w:rPr>
          <w:rFonts w:hint="eastAsia" w:ascii="宋体" w:hAnsi="宋体" w:eastAsia="宋体" w:cs="宋体"/>
          <w:color w:val="000000" w:themeColor="text1"/>
          <w:kern w:val="2"/>
          <w:sz w:val="28"/>
          <w:szCs w:val="28"/>
          <w:highlight w:val="none"/>
          <w14:textFill>
            <w14:solidFill>
              <w14:schemeClr w14:val="tx1"/>
            </w14:solidFill>
          </w14:textFill>
        </w:rPr>
        <w:t>建所初期</w:t>
      </w:r>
      <w:r>
        <w:rPr>
          <w:rFonts w:hint="eastAsia" w:ascii="宋体" w:hAnsi="宋体" w:eastAsia="宋体" w:cs="宋体"/>
          <w:color w:val="000000" w:themeColor="text1"/>
          <w:kern w:val="2"/>
          <w:sz w:val="28"/>
          <w:szCs w:val="28"/>
          <w:highlight w:val="none"/>
          <w:lang w:val="en-US" w:eastAsia="zh-CN"/>
          <w14:textFill>
            <w14:solidFill>
              <w14:schemeClr w14:val="tx1"/>
            </w14:solidFill>
          </w14:textFill>
        </w:rPr>
        <w:t>代表性</w:t>
      </w:r>
      <w:r>
        <w:rPr>
          <w:rFonts w:hint="eastAsia" w:ascii="宋体" w:hAnsi="宋体" w:eastAsia="宋体" w:cs="宋体"/>
          <w:color w:val="000000" w:themeColor="text1"/>
          <w:kern w:val="2"/>
          <w:sz w:val="28"/>
          <w:szCs w:val="28"/>
          <w:highlight w:val="none"/>
          <w14:textFill>
            <w14:solidFill>
              <w14:schemeClr w14:val="tx1"/>
            </w14:solidFill>
          </w14:textFill>
        </w:rPr>
        <w:t>科研项目及成果</w:t>
      </w:r>
    </w:p>
    <w:tbl>
      <w:tblPr>
        <w:tblStyle w:val="6"/>
        <w:tblW w:w="8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Pr>
          <w:p>
            <w:pPr>
              <w:adjustRightInd w:val="0"/>
              <w:snapToGrid w:val="0"/>
              <w:spacing w:line="560" w:lineRule="exact"/>
              <w:jc w:val="center"/>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序号</w:t>
            </w:r>
          </w:p>
        </w:tc>
        <w:tc>
          <w:tcPr>
            <w:tcW w:w="7020" w:type="dxa"/>
          </w:tcPr>
          <w:p>
            <w:pPr>
              <w:adjustRightInd w:val="0"/>
              <w:snapToGrid w:val="0"/>
              <w:spacing w:line="560" w:lineRule="exact"/>
              <w:jc w:val="center"/>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项目与成果名称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5"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w:t>
            </w:r>
          </w:p>
        </w:tc>
        <w:tc>
          <w:tcPr>
            <w:tcW w:w="702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中南地区基础地质图件编制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w:t>
            </w:r>
          </w:p>
        </w:tc>
        <w:tc>
          <w:tcPr>
            <w:tcW w:w="702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湘中奥陶纪地层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5"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w:t>
            </w:r>
          </w:p>
        </w:tc>
        <w:tc>
          <w:tcPr>
            <w:tcW w:w="702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湘南粤北晚二叠世地层及古生物研究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w:t>
            </w:r>
          </w:p>
        </w:tc>
        <w:tc>
          <w:tcPr>
            <w:tcW w:w="702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湘南粤北二叠纪煤系形成条件和分布规律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5</w:t>
            </w:r>
          </w:p>
        </w:tc>
        <w:tc>
          <w:tcPr>
            <w:tcW w:w="7020" w:type="dxa"/>
          </w:tcPr>
          <w:p>
            <w:pPr>
              <w:adjustRightInd w:val="0"/>
              <w:snapToGrid w:val="0"/>
              <w:spacing w:line="560" w:lineRule="exact"/>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湖南衡阳盆地红色地层及盐类矿</w:t>
            </w:r>
            <w:r>
              <w:rPr>
                <w:rFonts w:hint="eastAsia" w:ascii="宋体" w:hAnsi="宋体" w:eastAsia="宋体" w:cs="宋体"/>
                <w:color w:val="000000" w:themeColor="text1"/>
                <w:sz w:val="28"/>
                <w:szCs w:val="28"/>
                <w:highlight w:val="none"/>
                <w:lang w:eastAsia="zh-CN"/>
                <w14:textFill>
                  <w14:solidFill>
                    <w14:schemeClr w14:val="tx1"/>
                  </w14:solidFill>
                </w14:textFill>
              </w:rPr>
              <w:t>产</w:t>
            </w:r>
            <w:r>
              <w:rPr>
                <w:rFonts w:hint="eastAsia" w:ascii="宋体" w:hAnsi="宋体" w:eastAsia="宋体" w:cs="宋体"/>
                <w:color w:val="000000" w:themeColor="text1"/>
                <w:sz w:val="28"/>
                <w:szCs w:val="28"/>
                <w:highlight w:val="none"/>
                <w14:textFill>
                  <w14:solidFill>
                    <w14:schemeClr w14:val="tx1"/>
                  </w14:solidFill>
                </w14:textFill>
              </w:rPr>
              <w:t>的研究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6</w:t>
            </w:r>
          </w:p>
        </w:tc>
        <w:tc>
          <w:tcPr>
            <w:tcW w:w="7020" w:type="dxa"/>
          </w:tcPr>
          <w:p>
            <w:pPr>
              <w:adjustRightInd w:val="0"/>
              <w:snapToGrid w:val="0"/>
              <w:spacing w:line="560" w:lineRule="exact"/>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湖南郴县东坡钨矿田矿床生成条件与普查评价准则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7</w:t>
            </w:r>
          </w:p>
        </w:tc>
        <w:tc>
          <w:tcPr>
            <w:tcW w:w="7020" w:type="dxa"/>
          </w:tcPr>
          <w:p>
            <w:pPr>
              <w:adjustRightInd w:val="0"/>
              <w:snapToGrid w:val="0"/>
              <w:spacing w:line="560" w:lineRule="exact"/>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江西大余西华山漂塘地区钨矿生成条件与普查评价准则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8</w:t>
            </w:r>
          </w:p>
        </w:tc>
        <w:tc>
          <w:tcPr>
            <w:tcW w:w="7020" w:type="dxa"/>
          </w:tcPr>
          <w:p>
            <w:pPr>
              <w:adjustRightInd w:val="0"/>
              <w:snapToGrid w:val="0"/>
              <w:spacing w:line="560" w:lineRule="exact"/>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河南信阳卧虎基性--超基性杂岩研究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9</w:t>
            </w:r>
          </w:p>
        </w:tc>
        <w:tc>
          <w:tcPr>
            <w:tcW w:w="7020" w:type="dxa"/>
          </w:tcPr>
          <w:p>
            <w:pPr>
              <w:adjustRightInd w:val="0"/>
              <w:snapToGrid w:val="0"/>
              <w:spacing w:line="560" w:lineRule="exact"/>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河南桐柏山毛集--天目山含铌铁矿花岗岩研究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10</w:t>
            </w:r>
          </w:p>
        </w:tc>
        <w:tc>
          <w:tcPr>
            <w:tcW w:w="7020" w:type="dxa"/>
          </w:tcPr>
          <w:p>
            <w:pPr>
              <w:adjustRightInd w:val="0"/>
              <w:snapToGrid w:val="0"/>
              <w:spacing w:line="560" w:lineRule="exact"/>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湖南平</w:t>
            </w:r>
            <w:r>
              <w:rPr>
                <w:rFonts w:hint="eastAsia" w:ascii="宋体" w:hAnsi="宋体" w:eastAsia="宋体" w:cs="宋体"/>
                <w:color w:val="000000" w:themeColor="text1"/>
                <w:sz w:val="28"/>
                <w:szCs w:val="28"/>
                <w:highlight w:val="none"/>
                <w:lang w:eastAsia="zh-CN"/>
                <w14:textFill>
                  <w14:solidFill>
                    <w14:schemeClr w14:val="tx1"/>
                  </w14:solidFill>
                </w14:textFill>
              </w:rPr>
              <w:t>江</w:t>
            </w:r>
            <w:r>
              <w:rPr>
                <w:rFonts w:hint="eastAsia" w:ascii="宋体" w:hAnsi="宋体" w:eastAsia="宋体" w:cs="宋体"/>
                <w:color w:val="000000" w:themeColor="text1"/>
                <w:sz w:val="28"/>
                <w:szCs w:val="28"/>
                <w:highlight w:val="none"/>
                <w14:textFill>
                  <w14:solidFill>
                    <w14:schemeClr w14:val="tx1"/>
                  </w14:solidFill>
                </w14:textFill>
              </w:rPr>
              <w:t>传梓源稀有金属花岗伟晶岩的物质成分及铌钽铍锂诸元素氧化物的平衡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11</w:t>
            </w:r>
          </w:p>
        </w:tc>
        <w:tc>
          <w:tcPr>
            <w:tcW w:w="702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中南五省磷矿及湖北沉积岩矿产综合研究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12</w:t>
            </w:r>
          </w:p>
        </w:tc>
        <w:tc>
          <w:tcPr>
            <w:tcW w:w="702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湘粤桂三省（区）侵入岩的综合研究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5"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13</w:t>
            </w:r>
          </w:p>
        </w:tc>
        <w:tc>
          <w:tcPr>
            <w:tcW w:w="702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湘黔桂边境地区前寒武纪地层研究</w:t>
            </w:r>
          </w:p>
        </w:tc>
      </w:tr>
    </w:tbl>
    <w:p>
      <w:pPr>
        <w:rPr>
          <w:rFonts w:hint="eastAsia"/>
          <w:highlight w:val="none"/>
        </w:rPr>
      </w:pPr>
    </w:p>
    <w:p>
      <w:pPr>
        <w:ind w:firstLine="640" w:firstLineChars="200"/>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初创时期的中南所,条件简陋，第一代地质人白手起家，在地质部、中国地质科学院和长沙市政府的关怀下，在中南五省（区）地质局的支持下，在简陋的平房里，在破旧的车库里，满怀热情地投入到工作环境、科学研究等各项基础性工作建设之中，开启了中南地区地质矿产综合研究的新征程，根据功能定位，相应设立了九室五科。</w:t>
      </w:r>
    </w:p>
    <w:p>
      <w:pPr>
        <w:pStyle w:val="3"/>
        <w:ind w:left="0" w:leftChars="0"/>
        <w:jc w:val="center"/>
        <w:rPr>
          <w:rFonts w:hint="eastAsia"/>
          <w:highlight w:val="none"/>
          <w:lang w:eastAsia="zh-CN"/>
        </w:rPr>
      </w:pPr>
      <w:r>
        <w:rPr>
          <w:rFonts w:hint="eastAsia" w:ascii="宋体" w:hAnsi="宋体" w:eastAsia="宋体" w:cs="宋体"/>
          <w:color w:val="000000" w:themeColor="text1"/>
          <w:sz w:val="28"/>
          <w:szCs w:val="28"/>
          <w:highlight w:val="none"/>
          <w14:textFill>
            <w14:solidFill>
              <w14:schemeClr w14:val="tx1"/>
            </w14:solidFill>
          </w14:textFill>
        </w:rPr>
        <w:t>1963年机构设置</w:t>
      </w:r>
    </w:p>
    <w:tbl>
      <w:tblPr>
        <w:tblStyle w:val="6"/>
        <w:tblW w:w="8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0"/>
        <w:gridCol w:w="5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0" w:type="dxa"/>
          </w:tcPr>
          <w:p>
            <w:pPr>
              <w:adjustRightInd w:val="0"/>
              <w:snapToGrid w:val="0"/>
              <w:spacing w:line="560" w:lineRule="exact"/>
              <w:jc w:val="center"/>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序号</w:t>
            </w:r>
          </w:p>
        </w:tc>
        <w:tc>
          <w:tcPr>
            <w:tcW w:w="5700" w:type="dxa"/>
          </w:tcPr>
          <w:p>
            <w:pPr>
              <w:adjustRightInd w:val="0"/>
              <w:snapToGrid w:val="0"/>
              <w:spacing w:line="560" w:lineRule="exact"/>
              <w:jc w:val="center"/>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1</w:t>
            </w:r>
          </w:p>
        </w:tc>
        <w:tc>
          <w:tcPr>
            <w:tcW w:w="570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第一室（区域地质与构造研究室）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2</w:t>
            </w:r>
          </w:p>
        </w:tc>
        <w:tc>
          <w:tcPr>
            <w:tcW w:w="570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第二室（岩石矿物研究室）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3</w:t>
            </w:r>
          </w:p>
        </w:tc>
        <w:tc>
          <w:tcPr>
            <w:tcW w:w="570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第三室（地层古生物研究室）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4</w:t>
            </w:r>
          </w:p>
        </w:tc>
        <w:tc>
          <w:tcPr>
            <w:tcW w:w="570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第四室（矿床及成矿规律研究室）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5</w:t>
            </w:r>
          </w:p>
        </w:tc>
        <w:tc>
          <w:tcPr>
            <w:tcW w:w="570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第五室（煤及沉积矿床研究室）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6</w:t>
            </w:r>
          </w:p>
        </w:tc>
        <w:tc>
          <w:tcPr>
            <w:tcW w:w="570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第六室（稀有金属及特种非金属矿床研究室）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7</w:t>
            </w:r>
          </w:p>
        </w:tc>
        <w:tc>
          <w:tcPr>
            <w:tcW w:w="570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第七室（地球物理及地球化学探矿研究室）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8</w:t>
            </w:r>
          </w:p>
        </w:tc>
        <w:tc>
          <w:tcPr>
            <w:tcW w:w="570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地质科学技术情报资料室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9</w:t>
            </w:r>
          </w:p>
        </w:tc>
        <w:tc>
          <w:tcPr>
            <w:tcW w:w="5700" w:type="dxa"/>
          </w:tcPr>
          <w:p>
            <w:pPr>
              <w:adjustRightInd w:val="0"/>
              <w:snapToGrid w:val="0"/>
              <w:spacing w:line="560" w:lineRule="exact"/>
              <w:jc w:val="center"/>
              <w:rPr>
                <w:rFonts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办公室（下设五个科：人事科、保卫科、供应科、行政科、财务科）</w:t>
            </w:r>
          </w:p>
        </w:tc>
      </w:tr>
    </w:tbl>
    <w:p>
      <w:pPr>
        <w:spacing w:line="360" w:lineRule="auto"/>
        <w:ind w:firstLine="64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从1963年开始，科研工作进入了起步和“练兵”阶段，以莫柱荪为代表的中南所人，开启了以南岭为主的花岗岩成岩成矿研究的序幕和矿产调查以及中南区基础地质图件、中南区地层区划及区域地层表的编制等研究工作。并于1963年创办所刊《中南地质科技简报》。</w:t>
      </w:r>
    </w:p>
    <w:p>
      <w:pPr>
        <w:pStyle w:val="3"/>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drawing>
          <wp:inline distT="0" distB="0" distL="114935" distR="114935">
            <wp:extent cx="2141855" cy="3037840"/>
            <wp:effectExtent l="0" t="0" r="10795" b="10160"/>
            <wp:docPr id="2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0"/>
                    <pic:cNvPicPr>
                      <a:picLocks noChangeAspect="1"/>
                    </pic:cNvPicPr>
                  </pic:nvPicPr>
                  <pic:blipFill>
                    <a:blip r:embed="rId9" cstate="print"/>
                    <a:stretch>
                      <a:fillRect/>
                    </a:stretch>
                  </pic:blipFill>
                  <pic:spPr>
                    <a:xfrm>
                      <a:off x="0" y="0"/>
                      <a:ext cx="2141855" cy="3037840"/>
                    </a:xfrm>
                    <a:prstGeom prst="rect">
                      <a:avLst/>
                    </a:prstGeom>
                    <a:noFill/>
                    <a:ln>
                      <a:noFill/>
                    </a:ln>
                  </pic:spPr>
                </pic:pic>
              </a:graphicData>
            </a:graphic>
          </wp:inline>
        </w:drawing>
      </w:r>
    </w:p>
    <w:p>
      <w:pPr>
        <w:pStyle w:val="4"/>
        <w:jc w:val="center"/>
        <w:rPr>
          <w:rFonts w:hint="eastAsia" w:eastAsia="宋体"/>
          <w:highlight w:val="none"/>
          <w:lang w:eastAsia="zh-CN"/>
        </w:rPr>
      </w:pPr>
      <w:r>
        <w:rPr>
          <w:rFonts w:hint="eastAsia"/>
          <w:highlight w:val="none"/>
          <w:lang w:eastAsia="zh-CN"/>
        </w:rPr>
        <w:t>（中南地质科技简报第一期）</w:t>
      </w:r>
    </w:p>
    <w:p>
      <w:pPr>
        <w:pStyle w:val="4"/>
        <w:rPr>
          <w:highlight w:val="none"/>
        </w:rPr>
      </w:pPr>
      <w:r>
        <w:drawing>
          <wp:inline distT="0" distB="0" distL="114300" distR="114300">
            <wp:extent cx="5105400" cy="32766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105400" cy="3276600"/>
                    </a:xfrm>
                    <a:prstGeom prst="rect">
                      <a:avLst/>
                    </a:prstGeom>
                    <a:noFill/>
                    <a:ln>
                      <a:noFill/>
                    </a:ln>
                  </pic:spPr>
                </pic:pic>
              </a:graphicData>
            </a:graphic>
          </wp:inline>
        </w:drawing>
      </w:r>
    </w:p>
    <w:p>
      <w:pPr>
        <w:jc w:val="center"/>
        <w:rPr>
          <w:rFonts w:hint="eastAsia" w:eastAsiaTheme="minorEastAsia"/>
          <w:highlight w:val="none"/>
          <w:lang w:eastAsia="zh-CN"/>
        </w:rPr>
      </w:pPr>
      <w:r>
        <w:rPr>
          <w:rFonts w:hint="eastAsia" w:eastAsiaTheme="minorEastAsia"/>
          <w:highlight w:val="none"/>
          <w:lang w:eastAsia="zh-CN"/>
        </w:rPr>
        <w:t>1963年，原化验室职工合影</w:t>
      </w:r>
    </w:p>
    <w:p>
      <w:pPr>
        <w:pStyle w:val="3"/>
        <w:ind w:left="420"/>
        <w:rPr>
          <w:rFonts w:ascii="宋体" w:hAnsi="宋体" w:eastAsia="宋体" w:cs="宋体"/>
          <w:sz w:val="28"/>
          <w:szCs w:val="28"/>
          <w:highlight w:val="none"/>
        </w:rPr>
      </w:pPr>
      <w:r>
        <w:rPr>
          <w:rFonts w:hint="eastAsia" w:ascii="宋体" w:hAnsi="宋体" w:eastAsia="宋体" w:cs="宋体"/>
          <w:sz w:val="28"/>
          <w:szCs w:val="28"/>
          <w:highlight w:val="none"/>
        </w:rPr>
        <w:drawing>
          <wp:inline distT="0" distB="0" distL="114300" distR="114300">
            <wp:extent cx="4752975" cy="3099435"/>
            <wp:effectExtent l="0" t="0" r="9525" b="571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4752975" cy="3099435"/>
                    </a:xfrm>
                    <a:prstGeom prst="rect">
                      <a:avLst/>
                    </a:prstGeom>
                    <a:noFill/>
                    <a:ln>
                      <a:noFill/>
                    </a:ln>
                  </pic:spPr>
                </pic:pic>
              </a:graphicData>
            </a:graphic>
          </wp:inline>
        </w:drawing>
      </w:r>
    </w:p>
    <w:p>
      <w:pPr>
        <w:pStyle w:val="4"/>
        <w:ind w:left="420"/>
        <w:jc w:val="center"/>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1963年，原地球物理及地球化学探矿研究室人员合影</w:t>
      </w:r>
    </w:p>
    <w:p>
      <w:pPr>
        <w:rPr>
          <w:rFonts w:ascii="宋体" w:hAnsi="宋体" w:eastAsia="宋体" w:cs="宋体"/>
          <w:sz w:val="28"/>
          <w:szCs w:val="28"/>
          <w:highlight w:val="none"/>
        </w:rPr>
      </w:pPr>
      <w:r>
        <w:drawing>
          <wp:inline distT="0" distB="0" distL="114300" distR="114300">
            <wp:extent cx="5270500" cy="1680210"/>
            <wp:effectExtent l="0" t="0" r="635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270500" cy="1680210"/>
                    </a:xfrm>
                    <a:prstGeom prst="rect">
                      <a:avLst/>
                    </a:prstGeom>
                    <a:noFill/>
                    <a:ln>
                      <a:noFill/>
                    </a:ln>
                  </pic:spPr>
                </pic:pic>
              </a:graphicData>
            </a:graphic>
          </wp:inline>
        </w:drawing>
      </w:r>
    </w:p>
    <w:p>
      <w:pPr>
        <w:pStyle w:val="4"/>
        <w:ind w:left="420"/>
        <w:jc w:val="center"/>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1964年，原地质科学技术情报资料室人员合影</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5MTE3YjY0ZjJhZWUyY2ZlZGU3ZjRmMzRhOTAxMzUifQ=="/>
  </w:docVars>
  <w:rsids>
    <w:rsidRoot w:val="00000000"/>
    <w:rsid w:val="016A3193"/>
    <w:rsid w:val="020E364B"/>
    <w:rsid w:val="115B2A66"/>
    <w:rsid w:val="14AF654C"/>
    <w:rsid w:val="192E4871"/>
    <w:rsid w:val="25304D1B"/>
    <w:rsid w:val="271F6869"/>
    <w:rsid w:val="295F6E29"/>
    <w:rsid w:val="2BB45838"/>
    <w:rsid w:val="2CC837A7"/>
    <w:rsid w:val="30AD1649"/>
    <w:rsid w:val="43CB4CA4"/>
    <w:rsid w:val="46E7491E"/>
    <w:rsid w:val="4D5652E3"/>
    <w:rsid w:val="4F0E2D75"/>
    <w:rsid w:val="4F335EDB"/>
    <w:rsid w:val="64D15BF5"/>
    <w:rsid w:val="64F66D41"/>
    <w:rsid w:val="672D2847"/>
    <w:rsid w:val="76772898"/>
    <w:rsid w:val="77B50A37"/>
    <w:rsid w:val="78310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3"/>
    <w:basedOn w:val="4"/>
    <w:next w:val="4"/>
    <w:semiHidden/>
    <w:unhideWhenUsed/>
    <w:qFormat/>
    <w:uiPriority w:val="0"/>
    <w:pPr>
      <w:keepNext/>
      <w:keepLines/>
      <w:spacing w:before="260" w:after="260" w:line="416" w:lineRule="auto"/>
      <w:outlineLvl w:val="2"/>
    </w:pPr>
    <w:rPr>
      <w:b/>
      <w:bCs/>
      <w:sz w:val="32"/>
      <w:szCs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table of authorities"/>
    <w:basedOn w:val="1"/>
    <w:next w:val="1"/>
    <w:qFormat/>
    <w:uiPriority w:val="0"/>
    <w:pPr>
      <w:ind w:left="200" w:leftChars="200"/>
    </w:p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章"/>
    <w:basedOn w:val="2"/>
    <w:qFormat/>
    <w:uiPriority w:val="0"/>
    <w:pPr>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1711</Words>
  <Characters>1770</Characters>
  <Lines>0</Lines>
  <Paragraphs>0</Paragraphs>
  <TotalTime>380</TotalTime>
  <ScaleCrop>false</ScaleCrop>
  <LinksUpToDate>false</LinksUpToDate>
  <CharactersWithSpaces>1798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Administrator.LS--20170104GWM</dc:creator>
  <cp:lastModifiedBy>晓夜微白</cp:lastModifiedBy>
  <dcterms:modified xsi:type="dcterms:W3CDTF">2022-10-25T08:55:07Z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7BC3676E0C3145618280E27342CF87D5</vt:lpwstr>
  </property>
</Properties>
</file>